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6ED" w:rsidRPr="00A721C5" w:rsidRDefault="007326ED" w:rsidP="007326ED">
      <w:pPr>
        <w:widowControl w:val="0"/>
        <w:jc w:val="both"/>
      </w:pPr>
      <w:bookmarkStart w:id="0" w:name="_GoBack"/>
      <w:bookmarkEnd w:id="0"/>
    </w:p>
    <w:p w:rsidR="007326ED" w:rsidRPr="00454EC7" w:rsidRDefault="007326ED" w:rsidP="007326ED">
      <w:pPr>
        <w:widowControl w:val="0"/>
        <w:numPr>
          <w:ilvl w:val="0"/>
          <w:numId w:val="1"/>
        </w:numPr>
        <w:tabs>
          <w:tab w:val="clear" w:pos="720"/>
          <w:tab w:val="left" w:pos="567"/>
        </w:tabs>
        <w:ind w:left="567" w:hanging="567"/>
        <w:jc w:val="both"/>
        <w:rPr>
          <w:rFonts w:ascii="Arial" w:hAnsi="Arial" w:cs="Arial"/>
          <w:bCs/>
          <w:spacing w:val="-3"/>
          <w:sz w:val="22"/>
          <w:szCs w:val="22"/>
        </w:rPr>
      </w:pPr>
      <w:r w:rsidRPr="00454EC7">
        <w:rPr>
          <w:rFonts w:ascii="Arial" w:hAnsi="Arial" w:cs="Arial"/>
          <w:bCs/>
          <w:spacing w:val="-3"/>
          <w:sz w:val="22"/>
          <w:szCs w:val="22"/>
        </w:rPr>
        <w:t xml:space="preserve">Under the Uniform Credit Laws Agreement 1993, the Governments of each state and territory agreed to establish and implement a uniform scheme regulating the provision of consumer credit.  On 1 November 1996, the Uniform Consumer Credit Code (Credit Code), an appendix to the </w:t>
      </w:r>
      <w:r w:rsidRPr="00454EC7">
        <w:rPr>
          <w:rFonts w:ascii="Arial" w:hAnsi="Arial" w:cs="Arial"/>
          <w:bCs/>
          <w:i/>
          <w:spacing w:val="-3"/>
          <w:sz w:val="22"/>
          <w:szCs w:val="22"/>
        </w:rPr>
        <w:t>Consumer Credit (</w:t>
      </w:r>
      <w:smartTag w:uri="urn:schemas-microsoft-com:office:smarttags" w:element="State">
        <w:r w:rsidRPr="00454EC7">
          <w:rPr>
            <w:rFonts w:ascii="Arial" w:hAnsi="Arial" w:cs="Arial"/>
            <w:bCs/>
            <w:i/>
            <w:spacing w:val="-3"/>
            <w:sz w:val="22"/>
            <w:szCs w:val="22"/>
          </w:rPr>
          <w:t>Queensland</w:t>
        </w:r>
      </w:smartTag>
      <w:r w:rsidRPr="00454EC7">
        <w:rPr>
          <w:rFonts w:ascii="Arial" w:hAnsi="Arial" w:cs="Arial"/>
          <w:bCs/>
          <w:i/>
          <w:spacing w:val="-3"/>
          <w:sz w:val="22"/>
          <w:szCs w:val="22"/>
        </w:rPr>
        <w:t>) Act 1994</w:t>
      </w:r>
      <w:r w:rsidRPr="00454EC7">
        <w:rPr>
          <w:rFonts w:ascii="Arial" w:hAnsi="Arial" w:cs="Arial"/>
          <w:bCs/>
          <w:spacing w:val="-3"/>
          <w:sz w:val="22"/>
          <w:szCs w:val="22"/>
        </w:rPr>
        <w:t xml:space="preserve">, commenced operation throughout </w:t>
      </w:r>
      <w:smartTag w:uri="urn:schemas-microsoft-com:office:smarttags" w:element="country-region">
        <w:smartTag w:uri="urn:schemas-microsoft-com:office:smarttags" w:element="place">
          <w:r w:rsidRPr="00454EC7">
            <w:rPr>
              <w:rFonts w:ascii="Arial" w:hAnsi="Arial" w:cs="Arial"/>
              <w:bCs/>
              <w:spacing w:val="-3"/>
              <w:sz w:val="22"/>
              <w:szCs w:val="22"/>
            </w:rPr>
            <w:t>Australia</w:t>
          </w:r>
        </w:smartTag>
      </w:smartTag>
      <w:r w:rsidRPr="00454EC7">
        <w:rPr>
          <w:rFonts w:ascii="Arial" w:hAnsi="Arial" w:cs="Arial"/>
          <w:bCs/>
          <w:spacing w:val="-3"/>
          <w:sz w:val="22"/>
          <w:szCs w:val="22"/>
        </w:rPr>
        <w:t xml:space="preserve">.  </w:t>
      </w:r>
      <w:smartTag w:uri="urn:schemas-microsoft-com:office:smarttags" w:element="State">
        <w:smartTag w:uri="urn:schemas-microsoft-com:office:smarttags" w:element="place">
          <w:r w:rsidRPr="00454EC7">
            <w:rPr>
              <w:rFonts w:ascii="Arial" w:hAnsi="Arial" w:cs="Arial"/>
              <w:bCs/>
              <w:spacing w:val="-3"/>
              <w:sz w:val="22"/>
              <w:szCs w:val="22"/>
            </w:rPr>
            <w:t>Queensland</w:t>
          </w:r>
        </w:smartTag>
      </w:smartTag>
      <w:r w:rsidRPr="00454EC7">
        <w:rPr>
          <w:rFonts w:ascii="Arial" w:hAnsi="Arial" w:cs="Arial"/>
          <w:bCs/>
          <w:spacing w:val="-3"/>
          <w:sz w:val="22"/>
          <w:szCs w:val="22"/>
        </w:rPr>
        <w:t xml:space="preserve"> holds the template legislation for the Credit Code.</w:t>
      </w:r>
    </w:p>
    <w:p w:rsidR="007326ED" w:rsidRPr="00454EC7" w:rsidRDefault="007326ED" w:rsidP="007326ED">
      <w:pPr>
        <w:widowControl w:val="0"/>
        <w:tabs>
          <w:tab w:val="left" w:pos="567"/>
        </w:tabs>
        <w:jc w:val="both"/>
        <w:rPr>
          <w:rFonts w:ascii="Arial" w:hAnsi="Arial" w:cs="Arial"/>
          <w:bCs/>
          <w:spacing w:val="-3"/>
          <w:sz w:val="22"/>
          <w:szCs w:val="22"/>
        </w:rPr>
      </w:pPr>
    </w:p>
    <w:p w:rsidR="007326ED" w:rsidRPr="00454EC7" w:rsidRDefault="007326ED" w:rsidP="007326ED">
      <w:pPr>
        <w:widowControl w:val="0"/>
        <w:numPr>
          <w:ilvl w:val="0"/>
          <w:numId w:val="1"/>
        </w:numPr>
        <w:tabs>
          <w:tab w:val="clear" w:pos="720"/>
          <w:tab w:val="left" w:pos="567"/>
        </w:tabs>
        <w:ind w:left="567" w:hanging="567"/>
        <w:jc w:val="both"/>
        <w:rPr>
          <w:rFonts w:ascii="Arial" w:hAnsi="Arial" w:cs="Arial"/>
          <w:bCs/>
          <w:spacing w:val="-3"/>
          <w:sz w:val="22"/>
          <w:szCs w:val="22"/>
        </w:rPr>
      </w:pPr>
      <w:r w:rsidRPr="00454EC7">
        <w:rPr>
          <w:rFonts w:ascii="Arial" w:hAnsi="Arial" w:cs="Arial"/>
          <w:bCs/>
          <w:spacing w:val="-3"/>
          <w:sz w:val="22"/>
          <w:szCs w:val="22"/>
        </w:rPr>
        <w:t xml:space="preserve">In March 2008, the Council of Australian Governments (COAG) committed to a comprehensive microeconomic reform program including a regulatory reform agenda to help deliver significant improvements in </w:t>
      </w:r>
      <w:smartTag w:uri="urn:schemas-microsoft-com:office:smarttags" w:element="country-region">
        <w:smartTag w:uri="urn:schemas-microsoft-com:office:smarttags" w:element="place">
          <w:r w:rsidRPr="00454EC7">
            <w:rPr>
              <w:rFonts w:ascii="Arial" w:hAnsi="Arial" w:cs="Arial"/>
              <w:bCs/>
              <w:spacing w:val="-3"/>
              <w:sz w:val="22"/>
              <w:szCs w:val="22"/>
            </w:rPr>
            <w:t>Australia</w:t>
          </w:r>
        </w:smartTag>
      </w:smartTag>
      <w:r w:rsidRPr="00454EC7">
        <w:rPr>
          <w:rFonts w:ascii="Arial" w:hAnsi="Arial" w:cs="Arial"/>
          <w:bCs/>
          <w:spacing w:val="-3"/>
          <w:sz w:val="22"/>
          <w:szCs w:val="22"/>
        </w:rPr>
        <w:t>’s competition, productivity and international competitiveness.</w:t>
      </w:r>
    </w:p>
    <w:p w:rsidR="007326ED" w:rsidRPr="00454EC7" w:rsidRDefault="007326ED" w:rsidP="007326ED">
      <w:pPr>
        <w:widowControl w:val="0"/>
        <w:tabs>
          <w:tab w:val="left" w:pos="567"/>
        </w:tabs>
        <w:jc w:val="both"/>
        <w:rPr>
          <w:rFonts w:ascii="Arial" w:hAnsi="Arial" w:cs="Arial"/>
          <w:bCs/>
          <w:spacing w:val="-3"/>
          <w:sz w:val="22"/>
          <w:szCs w:val="22"/>
        </w:rPr>
      </w:pPr>
    </w:p>
    <w:p w:rsidR="007326ED" w:rsidRPr="00454EC7" w:rsidRDefault="007326ED" w:rsidP="007326ED">
      <w:pPr>
        <w:widowControl w:val="0"/>
        <w:numPr>
          <w:ilvl w:val="0"/>
          <w:numId w:val="1"/>
        </w:numPr>
        <w:tabs>
          <w:tab w:val="clear" w:pos="720"/>
          <w:tab w:val="left" w:pos="567"/>
        </w:tabs>
        <w:ind w:left="567" w:hanging="567"/>
        <w:jc w:val="both"/>
        <w:rPr>
          <w:rFonts w:ascii="Arial" w:hAnsi="Arial" w:cs="Arial"/>
          <w:bCs/>
          <w:spacing w:val="-3"/>
          <w:sz w:val="22"/>
          <w:szCs w:val="22"/>
        </w:rPr>
      </w:pPr>
      <w:r w:rsidRPr="00454EC7">
        <w:rPr>
          <w:rFonts w:ascii="Arial" w:hAnsi="Arial" w:cs="Arial"/>
          <w:bCs/>
          <w:spacing w:val="-3"/>
          <w:sz w:val="22"/>
          <w:szCs w:val="22"/>
        </w:rPr>
        <w:t>As part of these reforms, COAG agreed that responsibility for the regulation of credit (including finance broking) should be transferred from the states and territories to the Commonwealth.   The Australian Securities and Investment Commission will be given extra powers to police the scheme.</w:t>
      </w:r>
    </w:p>
    <w:p w:rsidR="007326ED" w:rsidRPr="00454EC7" w:rsidRDefault="007326ED" w:rsidP="007326ED">
      <w:pPr>
        <w:widowControl w:val="0"/>
        <w:tabs>
          <w:tab w:val="left" w:pos="567"/>
        </w:tabs>
        <w:jc w:val="both"/>
        <w:rPr>
          <w:rFonts w:ascii="Arial" w:hAnsi="Arial" w:cs="Arial"/>
          <w:bCs/>
          <w:spacing w:val="-3"/>
          <w:sz w:val="22"/>
          <w:szCs w:val="22"/>
        </w:rPr>
      </w:pPr>
    </w:p>
    <w:p w:rsidR="007326ED" w:rsidRPr="00454EC7" w:rsidRDefault="007326ED" w:rsidP="007326ED">
      <w:pPr>
        <w:widowControl w:val="0"/>
        <w:numPr>
          <w:ilvl w:val="0"/>
          <w:numId w:val="1"/>
        </w:numPr>
        <w:tabs>
          <w:tab w:val="clear" w:pos="720"/>
          <w:tab w:val="left" w:pos="567"/>
        </w:tabs>
        <w:ind w:left="567" w:hanging="567"/>
        <w:jc w:val="both"/>
        <w:rPr>
          <w:rFonts w:ascii="Arial" w:hAnsi="Arial" w:cs="Arial"/>
          <w:bCs/>
          <w:spacing w:val="-3"/>
          <w:sz w:val="22"/>
          <w:szCs w:val="22"/>
        </w:rPr>
      </w:pPr>
      <w:r w:rsidRPr="00454EC7">
        <w:rPr>
          <w:rFonts w:ascii="Arial" w:hAnsi="Arial" w:cs="Arial"/>
          <w:bCs/>
          <w:spacing w:val="-3"/>
          <w:sz w:val="22"/>
          <w:szCs w:val="22"/>
        </w:rPr>
        <w:t xml:space="preserve">To enable the Commonwealth to commence its new national credit laws, the states and territories must first pass legislation referring power for the regulation of credit to the Commonwealth.  The Commonwealth intends on commencing registration requirements for industry on 1 April 2010 and the remaining substantive laws, including the National Credit Code, on 1 July 2010.  </w:t>
      </w:r>
    </w:p>
    <w:p w:rsidR="007326ED" w:rsidRPr="00454EC7" w:rsidRDefault="007326ED" w:rsidP="007326ED">
      <w:pPr>
        <w:widowControl w:val="0"/>
        <w:tabs>
          <w:tab w:val="left" w:pos="567"/>
        </w:tabs>
        <w:jc w:val="both"/>
        <w:rPr>
          <w:rFonts w:ascii="Arial" w:hAnsi="Arial" w:cs="Arial"/>
          <w:bCs/>
          <w:spacing w:val="-3"/>
          <w:sz w:val="22"/>
          <w:szCs w:val="22"/>
        </w:rPr>
      </w:pPr>
    </w:p>
    <w:p w:rsidR="007326ED" w:rsidRPr="00454EC7" w:rsidRDefault="007326ED" w:rsidP="007326ED">
      <w:pPr>
        <w:widowControl w:val="0"/>
        <w:numPr>
          <w:ilvl w:val="0"/>
          <w:numId w:val="1"/>
        </w:numPr>
        <w:tabs>
          <w:tab w:val="clear" w:pos="720"/>
          <w:tab w:val="left" w:pos="567"/>
        </w:tabs>
        <w:ind w:left="567" w:hanging="567"/>
        <w:jc w:val="both"/>
        <w:rPr>
          <w:rFonts w:ascii="Arial" w:hAnsi="Arial" w:cs="Arial"/>
          <w:bCs/>
          <w:spacing w:val="-3"/>
          <w:sz w:val="22"/>
          <w:szCs w:val="22"/>
        </w:rPr>
      </w:pPr>
      <w:r w:rsidRPr="00454EC7">
        <w:rPr>
          <w:rFonts w:ascii="Arial" w:hAnsi="Arial" w:cs="Arial"/>
          <w:bCs/>
          <w:spacing w:val="-3"/>
          <w:sz w:val="22"/>
          <w:szCs w:val="22"/>
        </w:rPr>
        <w:t xml:space="preserve">The Credit (Commonwealth Powers) Bill 2009 refers constitutional power for credit and advice to the Commonwealth and repeals the </w:t>
      </w:r>
      <w:r w:rsidRPr="00454EC7">
        <w:rPr>
          <w:rFonts w:ascii="Arial" w:hAnsi="Arial" w:cs="Arial"/>
          <w:bCs/>
          <w:i/>
          <w:spacing w:val="-3"/>
          <w:sz w:val="22"/>
          <w:szCs w:val="22"/>
        </w:rPr>
        <w:t>Credit Act 1987</w:t>
      </w:r>
      <w:r w:rsidRPr="00454EC7">
        <w:rPr>
          <w:rFonts w:ascii="Arial" w:hAnsi="Arial" w:cs="Arial"/>
          <w:bCs/>
          <w:spacing w:val="-3"/>
          <w:sz w:val="22"/>
          <w:szCs w:val="22"/>
        </w:rPr>
        <w:t xml:space="preserve">, </w:t>
      </w:r>
      <w:r w:rsidRPr="00454EC7">
        <w:rPr>
          <w:rFonts w:ascii="Arial" w:hAnsi="Arial" w:cs="Arial"/>
          <w:bCs/>
          <w:i/>
          <w:spacing w:val="-3"/>
          <w:sz w:val="22"/>
          <w:szCs w:val="22"/>
        </w:rPr>
        <w:t>Consumer Credit (</w:t>
      </w:r>
      <w:smartTag w:uri="urn:schemas-microsoft-com:office:smarttags" w:element="State">
        <w:smartTag w:uri="urn:schemas-microsoft-com:office:smarttags" w:element="place">
          <w:r w:rsidRPr="00454EC7">
            <w:rPr>
              <w:rFonts w:ascii="Arial" w:hAnsi="Arial" w:cs="Arial"/>
              <w:bCs/>
              <w:i/>
              <w:spacing w:val="-3"/>
              <w:sz w:val="22"/>
              <w:szCs w:val="22"/>
            </w:rPr>
            <w:t>Queensland</w:t>
          </w:r>
        </w:smartTag>
      </w:smartTag>
      <w:r w:rsidRPr="00454EC7">
        <w:rPr>
          <w:rFonts w:ascii="Arial" w:hAnsi="Arial" w:cs="Arial"/>
          <w:bCs/>
          <w:i/>
          <w:spacing w:val="-3"/>
          <w:sz w:val="22"/>
          <w:szCs w:val="22"/>
        </w:rPr>
        <w:t>) Act 1994</w:t>
      </w:r>
      <w:r w:rsidRPr="00454EC7">
        <w:rPr>
          <w:rFonts w:ascii="Arial" w:hAnsi="Arial" w:cs="Arial"/>
          <w:bCs/>
          <w:spacing w:val="-3"/>
          <w:sz w:val="22"/>
          <w:szCs w:val="22"/>
        </w:rPr>
        <w:t xml:space="preserve">, the appended template Credit Code and supporting Regulations.  </w:t>
      </w:r>
    </w:p>
    <w:p w:rsidR="007326ED" w:rsidRPr="00454EC7" w:rsidRDefault="007326ED" w:rsidP="007326ED">
      <w:pPr>
        <w:widowControl w:val="0"/>
        <w:tabs>
          <w:tab w:val="left" w:pos="567"/>
        </w:tabs>
        <w:jc w:val="both"/>
        <w:rPr>
          <w:rFonts w:ascii="Arial" w:hAnsi="Arial" w:cs="Arial"/>
          <w:bCs/>
          <w:spacing w:val="-3"/>
          <w:sz w:val="22"/>
          <w:szCs w:val="22"/>
        </w:rPr>
      </w:pPr>
    </w:p>
    <w:p w:rsidR="007326ED" w:rsidRPr="00454EC7" w:rsidRDefault="007326ED" w:rsidP="007326ED">
      <w:pPr>
        <w:widowControl w:val="0"/>
        <w:numPr>
          <w:ilvl w:val="0"/>
          <w:numId w:val="1"/>
        </w:numPr>
        <w:tabs>
          <w:tab w:val="clear" w:pos="720"/>
          <w:tab w:val="left" w:pos="567"/>
        </w:tabs>
        <w:ind w:left="567" w:hanging="567"/>
        <w:jc w:val="both"/>
        <w:rPr>
          <w:rFonts w:ascii="Arial" w:hAnsi="Arial" w:cs="Arial"/>
          <w:bCs/>
          <w:spacing w:val="-3"/>
          <w:sz w:val="22"/>
          <w:szCs w:val="22"/>
        </w:rPr>
      </w:pPr>
      <w:r w:rsidRPr="00454EC7">
        <w:rPr>
          <w:rFonts w:ascii="Arial" w:hAnsi="Arial" w:cs="Arial"/>
          <w:bCs/>
          <w:spacing w:val="-3"/>
          <w:sz w:val="22"/>
          <w:szCs w:val="22"/>
          <w:u w:val="single"/>
        </w:rPr>
        <w:t>Cabinet approved</w:t>
      </w:r>
      <w:r w:rsidRPr="00454EC7">
        <w:rPr>
          <w:rFonts w:ascii="Arial" w:hAnsi="Arial" w:cs="Arial"/>
          <w:bCs/>
          <w:spacing w:val="-3"/>
          <w:sz w:val="22"/>
          <w:szCs w:val="22"/>
        </w:rPr>
        <w:t xml:space="preserve"> the introduction of the Credit (Commonwealth Powers) Bill 2009 into the Legislative Assembly and the draft National Credit Law Agreement 2009.  </w:t>
      </w:r>
    </w:p>
    <w:p w:rsidR="007326ED" w:rsidRPr="00454EC7" w:rsidRDefault="007326ED" w:rsidP="007326ED">
      <w:pPr>
        <w:widowControl w:val="0"/>
        <w:tabs>
          <w:tab w:val="left" w:pos="567"/>
        </w:tabs>
        <w:jc w:val="both"/>
        <w:rPr>
          <w:rFonts w:ascii="Arial" w:hAnsi="Arial" w:cs="Arial"/>
          <w:sz w:val="22"/>
          <w:szCs w:val="22"/>
        </w:rPr>
      </w:pPr>
    </w:p>
    <w:p w:rsidR="007326ED" w:rsidRPr="00454EC7" w:rsidRDefault="007326ED" w:rsidP="007326ED">
      <w:pPr>
        <w:widowControl w:val="0"/>
        <w:numPr>
          <w:ilvl w:val="0"/>
          <w:numId w:val="1"/>
        </w:numPr>
        <w:tabs>
          <w:tab w:val="clear" w:pos="720"/>
          <w:tab w:val="left" w:pos="567"/>
        </w:tabs>
        <w:ind w:left="567" w:hanging="567"/>
        <w:jc w:val="both"/>
        <w:rPr>
          <w:rFonts w:ascii="Arial" w:hAnsi="Arial" w:cs="Arial"/>
          <w:sz w:val="22"/>
          <w:szCs w:val="22"/>
        </w:rPr>
      </w:pPr>
      <w:r w:rsidRPr="00454EC7">
        <w:rPr>
          <w:rFonts w:ascii="Arial" w:hAnsi="Arial" w:cs="Arial"/>
          <w:i/>
          <w:sz w:val="22"/>
          <w:szCs w:val="22"/>
          <w:u w:val="single"/>
        </w:rPr>
        <w:t>Attachments</w:t>
      </w:r>
    </w:p>
    <w:p w:rsidR="007326ED" w:rsidRPr="00454EC7" w:rsidRDefault="006564AB" w:rsidP="007326ED">
      <w:pPr>
        <w:widowControl w:val="0"/>
        <w:numPr>
          <w:ilvl w:val="0"/>
          <w:numId w:val="2"/>
        </w:numPr>
        <w:tabs>
          <w:tab w:val="clear" w:pos="814"/>
          <w:tab w:val="left" w:pos="1134"/>
        </w:tabs>
        <w:ind w:left="1134" w:hanging="567"/>
        <w:jc w:val="both"/>
        <w:rPr>
          <w:rFonts w:ascii="Arial" w:hAnsi="Arial" w:cs="Arial"/>
          <w:sz w:val="22"/>
          <w:szCs w:val="22"/>
        </w:rPr>
      </w:pPr>
      <w:hyperlink r:id="rId7" w:history="1">
        <w:r w:rsidR="007326ED" w:rsidRPr="004644DF">
          <w:rPr>
            <w:rStyle w:val="Hyperlink"/>
            <w:rFonts w:ascii="Arial" w:hAnsi="Arial" w:cs="Arial"/>
            <w:sz w:val="22"/>
            <w:szCs w:val="22"/>
          </w:rPr>
          <w:t>Credit (Commonwealth Powers) Bill 2009</w:t>
        </w:r>
      </w:hyperlink>
      <w:r w:rsidR="007326ED" w:rsidRPr="00454EC7">
        <w:rPr>
          <w:rFonts w:ascii="Arial" w:hAnsi="Arial" w:cs="Arial"/>
          <w:sz w:val="22"/>
          <w:szCs w:val="22"/>
        </w:rPr>
        <w:t xml:space="preserve"> </w:t>
      </w:r>
    </w:p>
    <w:p w:rsidR="007326ED" w:rsidRPr="00454EC7" w:rsidRDefault="006564AB" w:rsidP="007326ED">
      <w:pPr>
        <w:widowControl w:val="0"/>
        <w:numPr>
          <w:ilvl w:val="0"/>
          <w:numId w:val="2"/>
        </w:numPr>
        <w:tabs>
          <w:tab w:val="clear" w:pos="814"/>
          <w:tab w:val="left" w:pos="1134"/>
        </w:tabs>
        <w:ind w:left="1134" w:hanging="567"/>
        <w:jc w:val="both"/>
        <w:rPr>
          <w:rFonts w:ascii="Arial" w:hAnsi="Arial" w:cs="Arial"/>
          <w:sz w:val="22"/>
          <w:szCs w:val="22"/>
        </w:rPr>
      </w:pPr>
      <w:hyperlink r:id="rId8" w:history="1">
        <w:r w:rsidR="007326ED" w:rsidRPr="004644DF">
          <w:rPr>
            <w:rStyle w:val="Hyperlink"/>
            <w:rFonts w:ascii="Arial" w:hAnsi="Arial" w:cs="Arial"/>
            <w:sz w:val="22"/>
            <w:szCs w:val="22"/>
          </w:rPr>
          <w:t>Credit (Commonwealth Powers) Bill 2009 Explanatory Notes</w:t>
        </w:r>
      </w:hyperlink>
    </w:p>
    <w:p w:rsidR="00021A81" w:rsidRPr="00454EC7" w:rsidRDefault="006564AB" w:rsidP="007326ED">
      <w:pPr>
        <w:widowControl w:val="0"/>
        <w:numPr>
          <w:ilvl w:val="0"/>
          <w:numId w:val="2"/>
        </w:numPr>
        <w:tabs>
          <w:tab w:val="clear" w:pos="814"/>
          <w:tab w:val="left" w:pos="1134"/>
        </w:tabs>
        <w:ind w:left="1134" w:hanging="567"/>
        <w:jc w:val="both"/>
        <w:rPr>
          <w:rFonts w:ascii="Arial" w:hAnsi="Arial" w:cs="Arial"/>
          <w:sz w:val="22"/>
          <w:szCs w:val="22"/>
        </w:rPr>
      </w:pPr>
      <w:hyperlink r:id="rId9" w:history="1">
        <w:r w:rsidR="00021A81" w:rsidRPr="0051055B">
          <w:rPr>
            <w:rStyle w:val="Hyperlink"/>
            <w:rFonts w:ascii="Arial" w:hAnsi="Arial" w:cs="Arial"/>
            <w:sz w:val="22"/>
            <w:szCs w:val="22"/>
          </w:rPr>
          <w:t>National Consumer Credit Protection (Transitional and Consequential Provisions) Bill 20</w:t>
        </w:r>
        <w:r w:rsidR="0051055B" w:rsidRPr="0051055B">
          <w:rPr>
            <w:rStyle w:val="Hyperlink"/>
            <w:rFonts w:ascii="Arial" w:hAnsi="Arial" w:cs="Arial"/>
            <w:sz w:val="22"/>
            <w:szCs w:val="22"/>
          </w:rPr>
          <w:t>09 (as passed on 26 Oct 2009)</w:t>
        </w:r>
      </w:hyperlink>
    </w:p>
    <w:p w:rsidR="00853639" w:rsidRPr="00A721C5" w:rsidRDefault="006564AB" w:rsidP="0051055B">
      <w:pPr>
        <w:widowControl w:val="0"/>
        <w:numPr>
          <w:ilvl w:val="0"/>
          <w:numId w:val="2"/>
        </w:numPr>
        <w:tabs>
          <w:tab w:val="clear" w:pos="814"/>
          <w:tab w:val="left" w:pos="1134"/>
        </w:tabs>
        <w:ind w:left="1134" w:hanging="567"/>
        <w:jc w:val="both"/>
        <w:rPr>
          <w:szCs w:val="24"/>
        </w:rPr>
      </w:pPr>
      <w:hyperlink r:id="rId10" w:history="1">
        <w:r w:rsidR="00021A81" w:rsidRPr="0051055B">
          <w:rPr>
            <w:rStyle w:val="Hyperlink"/>
            <w:rFonts w:ascii="Arial" w:hAnsi="Arial" w:cs="Arial"/>
            <w:sz w:val="22"/>
            <w:szCs w:val="22"/>
          </w:rPr>
          <w:t>National Consumer Credit Protection Bill 2009 (as passed by Cwlth Senate on 26 Oct 2009)</w:t>
        </w:r>
      </w:hyperlink>
    </w:p>
    <w:p w:rsidR="007326ED" w:rsidRPr="00A721C5" w:rsidRDefault="007326ED" w:rsidP="007326ED">
      <w:pPr>
        <w:widowControl w:val="0"/>
        <w:rPr>
          <w:sz w:val="22"/>
          <w:szCs w:val="22"/>
        </w:rPr>
      </w:pPr>
    </w:p>
    <w:p w:rsidR="00D40904" w:rsidRDefault="00D40904"/>
    <w:sectPr w:rsidR="00D40904">
      <w:headerReference w:type="even" r:id="rId11"/>
      <w:headerReference w:type="default" r:id="rId12"/>
      <w:head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560" w:rsidRDefault="00104560">
      <w:r>
        <w:separator/>
      </w:r>
    </w:p>
  </w:endnote>
  <w:endnote w:type="continuationSeparator" w:id="0">
    <w:p w:rsidR="00104560" w:rsidRDefault="0010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560" w:rsidRDefault="00104560">
      <w:r>
        <w:separator/>
      </w:r>
    </w:p>
  </w:footnote>
  <w:footnote w:type="continuationSeparator" w:id="0">
    <w:p w:rsidR="00104560" w:rsidRDefault="00104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5DF" w:rsidRDefault="006F05DF" w:rsidP="00637E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F05DF" w:rsidRDefault="006F05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5DF" w:rsidRPr="00A721C5" w:rsidRDefault="006F05DF" w:rsidP="007326ED">
    <w:pPr>
      <w:pStyle w:val="Header"/>
      <w:ind w:firstLine="2880"/>
      <w:jc w:val="right"/>
      <w:rPr>
        <w:b/>
        <w:sz w:val="28"/>
        <w:szCs w:val="28"/>
      </w:rPr>
    </w:pPr>
  </w:p>
  <w:p w:rsidR="006F05DF" w:rsidRDefault="006F05DF" w:rsidP="007326ED">
    <w:pPr>
      <w:pStyle w:val="Header"/>
      <w:ind w:firstLine="2880"/>
      <w:rPr>
        <w:rFonts w:ascii="Arial" w:hAnsi="Arial" w:cs="Arial"/>
        <w:b/>
        <w:sz w:val="22"/>
        <w:szCs w:val="22"/>
        <w:u w:val="single"/>
      </w:rPr>
    </w:pPr>
  </w:p>
  <w:p w:rsidR="006F05DF" w:rsidRDefault="00B5048A" w:rsidP="007326ED">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6F05DF" w:rsidRPr="000400F9">
      <w:rPr>
        <w:rFonts w:ascii="Arial" w:hAnsi="Arial" w:cs="Arial"/>
        <w:b/>
        <w:sz w:val="22"/>
        <w:szCs w:val="22"/>
        <w:u w:val="single"/>
      </w:rPr>
      <w:t xml:space="preserve">Cabinet – </w:t>
    </w:r>
    <w:r w:rsidR="006F05DF">
      <w:rPr>
        <w:rFonts w:ascii="Arial" w:hAnsi="Arial" w:cs="Arial"/>
        <w:b/>
        <w:sz w:val="22"/>
        <w:szCs w:val="22"/>
        <w:u w:val="single"/>
      </w:rPr>
      <w:t>November 2009</w:t>
    </w:r>
  </w:p>
  <w:p w:rsidR="006F05DF" w:rsidRPr="000400F9" w:rsidRDefault="006F05DF" w:rsidP="007326ED">
    <w:pPr>
      <w:pStyle w:val="Header"/>
      <w:ind w:firstLine="2880"/>
      <w:rPr>
        <w:rFonts w:ascii="Arial" w:hAnsi="Arial" w:cs="Arial"/>
        <w:b/>
        <w:sz w:val="22"/>
        <w:szCs w:val="22"/>
        <w:u w:val="single"/>
      </w:rPr>
    </w:pPr>
  </w:p>
  <w:p w:rsidR="006F05DF" w:rsidRDefault="006F05DF" w:rsidP="007326ED">
    <w:pPr>
      <w:pStyle w:val="Header"/>
      <w:rPr>
        <w:rFonts w:ascii="Arial" w:hAnsi="Arial" w:cs="Arial"/>
        <w:b/>
        <w:sz w:val="22"/>
        <w:szCs w:val="22"/>
        <w:u w:val="single"/>
      </w:rPr>
    </w:pPr>
    <w:r>
      <w:rPr>
        <w:rFonts w:ascii="Arial" w:hAnsi="Arial" w:cs="Arial"/>
        <w:b/>
        <w:sz w:val="22"/>
        <w:szCs w:val="22"/>
        <w:u w:val="single"/>
      </w:rPr>
      <w:t>Credit (Commonwealth Powers) Bill 2009</w:t>
    </w:r>
  </w:p>
  <w:p w:rsidR="006F05DF" w:rsidRDefault="006F05DF" w:rsidP="007326ED">
    <w:pPr>
      <w:pStyle w:val="Header"/>
      <w:rPr>
        <w:rFonts w:ascii="Arial" w:hAnsi="Arial" w:cs="Arial"/>
        <w:b/>
        <w:sz w:val="22"/>
        <w:szCs w:val="22"/>
        <w:u w:val="single"/>
      </w:rPr>
    </w:pPr>
  </w:p>
  <w:p w:rsidR="006F05DF" w:rsidRDefault="006F05DF" w:rsidP="007326ED">
    <w:pPr>
      <w:pStyle w:val="Header"/>
      <w:rPr>
        <w:rFonts w:ascii="Arial" w:hAnsi="Arial" w:cs="Arial"/>
        <w:b/>
        <w:sz w:val="22"/>
        <w:szCs w:val="22"/>
        <w:u w:val="single"/>
      </w:rPr>
    </w:pPr>
    <w:r>
      <w:rPr>
        <w:rFonts w:ascii="Arial" w:hAnsi="Arial" w:cs="Arial"/>
        <w:b/>
        <w:sz w:val="22"/>
        <w:szCs w:val="22"/>
        <w:u w:val="single"/>
      </w:rPr>
      <w:t>Minister for Tourism and Fair Trading</w:t>
    </w:r>
  </w:p>
  <w:p w:rsidR="006F05DF" w:rsidRDefault="006F05DF">
    <w:pPr>
      <w:pStyle w:val="Header"/>
      <w:rPr>
        <w:rStyle w:val="PageNumber"/>
      </w:rPr>
    </w:pPr>
  </w:p>
  <w:p w:rsidR="006F05DF" w:rsidRDefault="006F05DF">
    <w:pPr>
      <w:pStyle w:val="Header"/>
      <w:jc w:val="cent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5DF" w:rsidRPr="00B8550C" w:rsidRDefault="006F05DF" w:rsidP="00637E3C">
    <w:pPr>
      <w:pStyle w:val="Header"/>
      <w:rPr>
        <w:b/>
        <w:u w:val="single"/>
      </w:rPr>
    </w:pPr>
  </w:p>
  <w:p w:rsidR="006F05DF" w:rsidRPr="00F10DF9" w:rsidRDefault="006F05DF" w:rsidP="00637E3C">
    <w:pPr>
      <w:pStyle w:val="Heade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6ED"/>
    <w:rsid w:val="00021A81"/>
    <w:rsid w:val="00104560"/>
    <w:rsid w:val="00154B05"/>
    <w:rsid w:val="00360896"/>
    <w:rsid w:val="00393787"/>
    <w:rsid w:val="00404582"/>
    <w:rsid w:val="00454EC7"/>
    <w:rsid w:val="004644DF"/>
    <w:rsid w:val="00480C8D"/>
    <w:rsid w:val="0051055B"/>
    <w:rsid w:val="00637E3C"/>
    <w:rsid w:val="00647754"/>
    <w:rsid w:val="006564AB"/>
    <w:rsid w:val="006B2272"/>
    <w:rsid w:val="006F05DF"/>
    <w:rsid w:val="007326ED"/>
    <w:rsid w:val="00752971"/>
    <w:rsid w:val="008130B5"/>
    <w:rsid w:val="00853639"/>
    <w:rsid w:val="008D7EBD"/>
    <w:rsid w:val="009357E6"/>
    <w:rsid w:val="009B2A76"/>
    <w:rsid w:val="009B585F"/>
    <w:rsid w:val="00A52BF8"/>
    <w:rsid w:val="00B225CC"/>
    <w:rsid w:val="00B37E02"/>
    <w:rsid w:val="00B5048A"/>
    <w:rsid w:val="00B715FD"/>
    <w:rsid w:val="00D40904"/>
    <w:rsid w:val="00E1288A"/>
    <w:rsid w:val="00EB4148"/>
    <w:rsid w:val="00F54C3F"/>
    <w:rsid w:val="00F735B7"/>
    <w:rsid w:val="00FF1A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6ED"/>
    <w:rPr>
      <w:rFonts w:eastAsia="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26ED"/>
    <w:pPr>
      <w:tabs>
        <w:tab w:val="center" w:pos="4153"/>
        <w:tab w:val="right" w:pos="8306"/>
      </w:tabs>
    </w:pPr>
    <w:rPr>
      <w:color w:val="auto"/>
    </w:rPr>
  </w:style>
  <w:style w:type="character" w:styleId="PageNumber">
    <w:name w:val="page number"/>
    <w:basedOn w:val="DefaultParagraphFont"/>
    <w:rsid w:val="007326ED"/>
  </w:style>
  <w:style w:type="paragraph" w:styleId="Footer">
    <w:name w:val="footer"/>
    <w:basedOn w:val="Normal"/>
    <w:rsid w:val="007326ED"/>
    <w:pPr>
      <w:tabs>
        <w:tab w:val="center" w:pos="4153"/>
        <w:tab w:val="right" w:pos="8306"/>
      </w:tabs>
    </w:pPr>
  </w:style>
  <w:style w:type="character" w:styleId="Hyperlink">
    <w:name w:val="Hyperlink"/>
    <w:basedOn w:val="DefaultParagraphFont"/>
    <w:rsid w:val="009B585F"/>
    <w:rPr>
      <w:color w:val="0000FF"/>
      <w:u w:val="single"/>
    </w:rPr>
  </w:style>
  <w:style w:type="character" w:styleId="FollowedHyperlink">
    <w:name w:val="FollowedHyperlink"/>
    <w:basedOn w:val="DefaultParagraphFont"/>
    <w:rsid w:val="009B585F"/>
    <w:rPr>
      <w:color w:val="800080"/>
      <w:u w:val="single"/>
    </w:rPr>
  </w:style>
  <w:style w:type="paragraph" w:styleId="BalloonText">
    <w:name w:val="Balloon Text"/>
    <w:basedOn w:val="Normal"/>
    <w:semiHidden/>
    <w:rsid w:val="00393787"/>
    <w:rPr>
      <w:rFonts w:ascii="MS Shell Dlg" w:hAnsi="MS Shell Dlg" w:cs="MS Shell Dlg"/>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CreditCwlthExp.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Attachments/CreditCwlth.pd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Attachments/Credit%20Bill%20-%20Att%202.pdf" TargetMode="External"/><Relationship Id="rId4" Type="http://schemas.openxmlformats.org/officeDocument/2006/relationships/webSettings" Target="webSettings.xml"/><Relationship Id="rId9" Type="http://schemas.openxmlformats.org/officeDocument/2006/relationships/hyperlink" Target="Attachments/Credit%20Bill%20-%20Att%201.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2103</CharactersWithSpaces>
  <SharedDoc>false</SharedDoc>
  <HyperlinkBase>https://www.cabinet.qld.gov.au/documents/2009/Nov/Credit Bill 09/</HyperlinkBase>
  <HLinks>
    <vt:vector size="24" baseType="variant">
      <vt:variant>
        <vt:i4>3211318</vt:i4>
      </vt:variant>
      <vt:variant>
        <vt:i4>9</vt:i4>
      </vt:variant>
      <vt:variant>
        <vt:i4>0</vt:i4>
      </vt:variant>
      <vt:variant>
        <vt:i4>5</vt:i4>
      </vt:variant>
      <vt:variant>
        <vt:lpwstr>Attachments/Credit Bill - Att 2.pdf</vt:lpwstr>
      </vt:variant>
      <vt:variant>
        <vt:lpwstr/>
      </vt:variant>
      <vt:variant>
        <vt:i4>3211317</vt:i4>
      </vt:variant>
      <vt:variant>
        <vt:i4>6</vt:i4>
      </vt:variant>
      <vt:variant>
        <vt:i4>0</vt:i4>
      </vt:variant>
      <vt:variant>
        <vt:i4>5</vt:i4>
      </vt:variant>
      <vt:variant>
        <vt:lpwstr>Attachments/Credit Bill - Att 1.pdf</vt:lpwstr>
      </vt:variant>
      <vt:variant>
        <vt:lpwstr/>
      </vt:variant>
      <vt:variant>
        <vt:i4>2162748</vt:i4>
      </vt:variant>
      <vt:variant>
        <vt:i4>3</vt:i4>
      </vt:variant>
      <vt:variant>
        <vt:i4>0</vt:i4>
      </vt:variant>
      <vt:variant>
        <vt:i4>5</vt:i4>
      </vt:variant>
      <vt:variant>
        <vt:lpwstr>Attachments/CreditCwlthExp.pdf</vt:lpwstr>
      </vt:variant>
      <vt:variant>
        <vt:lpwstr/>
      </vt:variant>
      <vt:variant>
        <vt:i4>6815870</vt:i4>
      </vt:variant>
      <vt:variant>
        <vt:i4>0</vt:i4>
      </vt:variant>
      <vt:variant>
        <vt:i4>0</vt:i4>
      </vt:variant>
      <vt:variant>
        <vt:i4>5</vt:i4>
      </vt:variant>
      <vt:variant>
        <vt:lpwstr>Attachments/CreditCwlth.pdf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Credit,Consumer,Commonwealth</cp:keywords>
  <dc:description/>
  <cp:lastModifiedBy/>
  <cp:revision>2</cp:revision>
  <cp:lastPrinted>2009-11-20T00:19:00Z</cp:lastPrinted>
  <dcterms:created xsi:type="dcterms:W3CDTF">2017-10-24T22:02:00Z</dcterms:created>
  <dcterms:modified xsi:type="dcterms:W3CDTF">2018-03-06T00:58:00Z</dcterms:modified>
  <cp:category>Legislation,COAG,Parliament,Regulatory_Reform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-1719303214</vt:i4>
  </property>
  <property fmtid="{D5CDD505-2E9C-101B-9397-08002B2CF9AE}" pid="3" name="_NewReviewCycle">
    <vt:lpwstr/>
  </property>
  <property fmtid="{D5CDD505-2E9C-101B-9397-08002B2CF9AE}" pid="4" name="_ReviewingToolsShownOnce">
    <vt:lpwstr/>
  </property>
</Properties>
</file>